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60DB" w:rsidRPr="00923F0E" w:rsidRDefault="00E560DB" w:rsidP="00931E03">
      <w:pPr>
        <w:spacing w:line="480" w:lineRule="auto"/>
        <w:jc w:val="center"/>
        <w:rPr>
          <w:rFonts w:cstheme="minorHAnsi"/>
          <w:lang w:val="en-US"/>
        </w:rPr>
      </w:pPr>
      <w:r w:rsidRPr="00923F0E">
        <w:rPr>
          <w:rFonts w:eastAsia="Calibri" w:cstheme="minorHAnsi"/>
          <w:b/>
          <w:lang w:val="en-US"/>
        </w:rPr>
        <w:t xml:space="preserve">Supplementary table 2: </w:t>
      </w:r>
      <w:bookmarkStart w:id="0" w:name="_Hlk13599890"/>
      <w:r w:rsidRPr="00923F0E">
        <w:rPr>
          <w:rFonts w:cstheme="minorHAnsi"/>
          <w:lang w:val="en-US"/>
        </w:rPr>
        <w:t>Baseline characteristics associated with the development of early ascites.</w:t>
      </w:r>
    </w:p>
    <w:bookmarkEnd w:id="0"/>
    <w:p w:rsidR="001053C8" w:rsidRPr="00923F0E" w:rsidRDefault="001053C8" w:rsidP="00931E03">
      <w:pPr>
        <w:spacing w:line="480" w:lineRule="auto"/>
        <w:rPr>
          <w:rFonts w:eastAsia="Calibri" w:cstheme="minorHAnsi"/>
          <w:b/>
          <w:lang w:val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114"/>
        <w:gridCol w:w="2126"/>
        <w:gridCol w:w="2126"/>
        <w:gridCol w:w="1128"/>
      </w:tblGrid>
      <w:tr w:rsidR="00E560DB" w:rsidRPr="00923F0E" w:rsidTr="00923F0E">
        <w:tc>
          <w:tcPr>
            <w:tcW w:w="3114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b/>
                <w:lang w:val="en-US"/>
              </w:rPr>
            </w:pPr>
            <w:r w:rsidRPr="00923F0E">
              <w:rPr>
                <w:rFonts w:eastAsia="Calibri" w:cstheme="minorHAnsi"/>
                <w:b/>
                <w:lang w:val="en-US"/>
              </w:rPr>
              <w:t>Variables</w:t>
            </w:r>
            <w:r w:rsidRPr="00923F0E">
              <w:rPr>
                <w:rFonts w:eastAsia="Calibri" w:cstheme="minorHAnsi"/>
                <w:lang w:val="en-US"/>
              </w:rPr>
              <w:t>, median (IQR)</w:t>
            </w:r>
          </w:p>
        </w:tc>
        <w:tc>
          <w:tcPr>
            <w:tcW w:w="2126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b/>
                <w:lang w:val="en-US"/>
              </w:rPr>
            </w:pPr>
            <w:r w:rsidRPr="00923F0E">
              <w:rPr>
                <w:rFonts w:eastAsia="Calibri" w:cstheme="minorHAnsi"/>
                <w:b/>
                <w:lang w:val="en-US"/>
              </w:rPr>
              <w:t>Ascites post-TACE (n=27)</w:t>
            </w:r>
          </w:p>
        </w:tc>
        <w:tc>
          <w:tcPr>
            <w:tcW w:w="2126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b/>
                <w:lang w:val="en-US"/>
              </w:rPr>
            </w:pPr>
            <w:r w:rsidRPr="00923F0E">
              <w:rPr>
                <w:rFonts w:eastAsia="Calibri" w:cstheme="minorHAnsi"/>
                <w:b/>
                <w:lang w:val="en-US"/>
              </w:rPr>
              <w:t>No ascites post-TACE (n=189)</w:t>
            </w:r>
          </w:p>
        </w:tc>
        <w:tc>
          <w:tcPr>
            <w:tcW w:w="1128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b/>
                <w:color w:val="0000FF"/>
                <w:highlight w:val="yellow"/>
                <w:lang w:val="en-US"/>
              </w:rPr>
            </w:pPr>
            <w:r w:rsidRPr="00923F0E">
              <w:rPr>
                <w:rFonts w:eastAsia="Calibri" w:cstheme="minorHAnsi"/>
                <w:b/>
                <w:lang w:val="en-US"/>
              </w:rPr>
              <w:t>p-value</w:t>
            </w:r>
          </w:p>
        </w:tc>
      </w:tr>
      <w:tr w:rsidR="00E560DB" w:rsidRPr="00923F0E" w:rsidTr="00923F0E">
        <w:tc>
          <w:tcPr>
            <w:tcW w:w="3114" w:type="dxa"/>
          </w:tcPr>
          <w:p w:rsidR="00E560DB" w:rsidRPr="00EC6517" w:rsidRDefault="00E560DB" w:rsidP="00931E03">
            <w:pPr>
              <w:spacing w:line="480" w:lineRule="auto"/>
              <w:rPr>
                <w:rFonts w:eastAsia="Calibri" w:cstheme="minorHAnsi"/>
                <w:lang w:val="es-ES"/>
              </w:rPr>
            </w:pPr>
            <w:r w:rsidRPr="00EC6517">
              <w:rPr>
                <w:rFonts w:eastAsia="Calibri" w:cstheme="minorHAnsi"/>
                <w:lang w:val="es-ES"/>
              </w:rPr>
              <w:t>Prior ascites (no/yes), n</w:t>
            </w:r>
          </w:p>
        </w:tc>
        <w:tc>
          <w:tcPr>
            <w:tcW w:w="2126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18/9</w:t>
            </w:r>
          </w:p>
        </w:tc>
        <w:tc>
          <w:tcPr>
            <w:tcW w:w="2126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180/9</w:t>
            </w:r>
          </w:p>
        </w:tc>
        <w:tc>
          <w:tcPr>
            <w:tcW w:w="1128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b/>
                <w:lang w:val="en-US"/>
              </w:rPr>
            </w:pPr>
            <w:r w:rsidRPr="00923F0E">
              <w:rPr>
                <w:rFonts w:eastAsia="Calibri" w:cstheme="minorHAnsi"/>
                <w:b/>
                <w:lang w:val="en-US"/>
              </w:rPr>
              <w:t>&lt; 0.001</w:t>
            </w:r>
          </w:p>
        </w:tc>
      </w:tr>
      <w:tr w:rsidR="00E560DB" w:rsidRPr="00923F0E" w:rsidTr="00923F0E">
        <w:tc>
          <w:tcPr>
            <w:tcW w:w="3114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Esophageal varices (yes/no/unknown), n</w:t>
            </w:r>
          </w:p>
        </w:tc>
        <w:tc>
          <w:tcPr>
            <w:tcW w:w="2126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23/4/0</w:t>
            </w:r>
          </w:p>
        </w:tc>
        <w:tc>
          <w:tcPr>
            <w:tcW w:w="2126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108/68/13</w:t>
            </w:r>
          </w:p>
        </w:tc>
        <w:tc>
          <w:tcPr>
            <w:tcW w:w="1128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b/>
                <w:lang w:val="en-US"/>
              </w:rPr>
            </w:pPr>
            <w:r w:rsidRPr="00923F0E">
              <w:rPr>
                <w:rFonts w:eastAsia="Calibri" w:cstheme="minorHAnsi"/>
                <w:b/>
                <w:lang w:val="en-US"/>
              </w:rPr>
              <w:t>0.02</w:t>
            </w:r>
          </w:p>
        </w:tc>
      </w:tr>
      <w:tr w:rsidR="00E560DB" w:rsidRPr="00923F0E" w:rsidTr="00923F0E">
        <w:tc>
          <w:tcPr>
            <w:tcW w:w="3114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CSPH (no/yes), n</w:t>
            </w:r>
          </w:p>
        </w:tc>
        <w:tc>
          <w:tcPr>
            <w:tcW w:w="2126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1/ 26</w:t>
            </w:r>
          </w:p>
        </w:tc>
        <w:tc>
          <w:tcPr>
            <w:tcW w:w="2126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58/131</w:t>
            </w:r>
          </w:p>
        </w:tc>
        <w:tc>
          <w:tcPr>
            <w:tcW w:w="1128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b/>
                <w:lang w:val="en-US"/>
              </w:rPr>
            </w:pPr>
            <w:r w:rsidRPr="00923F0E">
              <w:rPr>
                <w:rFonts w:eastAsia="Calibri" w:cstheme="minorHAnsi"/>
                <w:b/>
                <w:lang w:val="en-US"/>
              </w:rPr>
              <w:t>0.001</w:t>
            </w:r>
          </w:p>
        </w:tc>
      </w:tr>
      <w:tr w:rsidR="00E560DB" w:rsidRPr="00923F0E" w:rsidTr="00923F0E">
        <w:tc>
          <w:tcPr>
            <w:tcW w:w="3114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Albumin (g/L)</w:t>
            </w:r>
          </w:p>
        </w:tc>
        <w:tc>
          <w:tcPr>
            <w:tcW w:w="2126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38 (33 - 40)</w:t>
            </w:r>
          </w:p>
        </w:tc>
        <w:tc>
          <w:tcPr>
            <w:tcW w:w="2126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41 (37 - 43)</w:t>
            </w:r>
          </w:p>
        </w:tc>
        <w:tc>
          <w:tcPr>
            <w:tcW w:w="1128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b/>
                <w:highlight w:val="yellow"/>
                <w:lang w:val="en-US"/>
              </w:rPr>
            </w:pPr>
            <w:r w:rsidRPr="00923F0E">
              <w:rPr>
                <w:rFonts w:eastAsia="Calibri" w:cstheme="minorHAnsi"/>
                <w:b/>
                <w:lang w:val="en-US"/>
              </w:rPr>
              <w:t>0.01</w:t>
            </w:r>
          </w:p>
        </w:tc>
      </w:tr>
      <w:tr w:rsidR="00E560DB" w:rsidRPr="00923F0E" w:rsidTr="00923F0E">
        <w:tc>
          <w:tcPr>
            <w:tcW w:w="3114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Bilirubin (mg/dL)</w:t>
            </w:r>
          </w:p>
        </w:tc>
        <w:tc>
          <w:tcPr>
            <w:tcW w:w="2126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1.18 (0.97 - 1.75)</w:t>
            </w:r>
          </w:p>
        </w:tc>
        <w:tc>
          <w:tcPr>
            <w:tcW w:w="2126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1 (0.9 - 1.25)</w:t>
            </w:r>
          </w:p>
        </w:tc>
        <w:tc>
          <w:tcPr>
            <w:tcW w:w="1128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b/>
                <w:lang w:val="en-US"/>
              </w:rPr>
            </w:pPr>
            <w:r w:rsidRPr="00923F0E">
              <w:rPr>
                <w:rFonts w:eastAsia="Calibri" w:cstheme="minorHAnsi"/>
                <w:b/>
                <w:lang w:val="en-US"/>
              </w:rPr>
              <w:t>0.057</w:t>
            </w:r>
          </w:p>
        </w:tc>
      </w:tr>
      <w:tr w:rsidR="00E560DB" w:rsidRPr="00923F0E" w:rsidTr="00923F0E">
        <w:tc>
          <w:tcPr>
            <w:tcW w:w="3114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Child-Pugh (A5/ A6, B), n</w:t>
            </w:r>
          </w:p>
        </w:tc>
        <w:tc>
          <w:tcPr>
            <w:tcW w:w="2126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8/9/7</w:t>
            </w:r>
          </w:p>
        </w:tc>
        <w:tc>
          <w:tcPr>
            <w:tcW w:w="2126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131/30/11</w:t>
            </w:r>
          </w:p>
        </w:tc>
        <w:tc>
          <w:tcPr>
            <w:tcW w:w="1128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highlight w:val="yellow"/>
                <w:lang w:val="en-US"/>
              </w:rPr>
            </w:pPr>
            <w:r w:rsidRPr="00923F0E">
              <w:rPr>
                <w:rFonts w:eastAsia="Calibri" w:cstheme="minorHAnsi"/>
                <w:b/>
                <w:lang w:val="en-US"/>
              </w:rPr>
              <w:t>&lt; 0.001</w:t>
            </w:r>
          </w:p>
        </w:tc>
      </w:tr>
      <w:tr w:rsidR="00E560DB" w:rsidRPr="00923F0E" w:rsidTr="00923F0E">
        <w:tc>
          <w:tcPr>
            <w:tcW w:w="3114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Hemoglobin (g/dL)</w:t>
            </w:r>
          </w:p>
        </w:tc>
        <w:tc>
          <w:tcPr>
            <w:tcW w:w="2126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12.5(11.58 - 13.27)</w:t>
            </w:r>
          </w:p>
        </w:tc>
        <w:tc>
          <w:tcPr>
            <w:tcW w:w="2126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13.8 (12.6 - 14.9)</w:t>
            </w:r>
          </w:p>
        </w:tc>
        <w:tc>
          <w:tcPr>
            <w:tcW w:w="1128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b/>
                <w:highlight w:val="yellow"/>
                <w:lang w:val="en-US"/>
              </w:rPr>
            </w:pPr>
            <w:r w:rsidRPr="00923F0E">
              <w:rPr>
                <w:rFonts w:eastAsia="Calibri" w:cstheme="minorHAnsi"/>
                <w:b/>
                <w:lang w:val="en-US"/>
              </w:rPr>
              <w:t>0.001</w:t>
            </w:r>
          </w:p>
        </w:tc>
      </w:tr>
      <w:tr w:rsidR="00E560DB" w:rsidRPr="00923F0E" w:rsidTr="00923F0E">
        <w:tc>
          <w:tcPr>
            <w:tcW w:w="3114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BCLC 0/A vs B (yes/no), n</w:t>
            </w:r>
          </w:p>
        </w:tc>
        <w:tc>
          <w:tcPr>
            <w:tcW w:w="2126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8 / 19</w:t>
            </w:r>
          </w:p>
        </w:tc>
        <w:tc>
          <w:tcPr>
            <w:tcW w:w="2126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68 / 95</w:t>
            </w:r>
          </w:p>
        </w:tc>
        <w:tc>
          <w:tcPr>
            <w:tcW w:w="1128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b/>
                <w:lang w:val="en-US"/>
              </w:rPr>
            </w:pPr>
            <w:r w:rsidRPr="00923F0E">
              <w:rPr>
                <w:rFonts w:eastAsia="Calibri" w:cstheme="minorHAnsi"/>
                <w:b/>
                <w:lang w:val="en-US"/>
              </w:rPr>
              <w:t>0.061</w:t>
            </w:r>
          </w:p>
        </w:tc>
      </w:tr>
    </w:tbl>
    <w:p w:rsidR="00E560DB" w:rsidRPr="00923F0E" w:rsidRDefault="00E560DB" w:rsidP="00931E03">
      <w:pPr>
        <w:spacing w:line="480" w:lineRule="auto"/>
        <w:rPr>
          <w:rFonts w:eastAsia="Calibri" w:cstheme="minorHAnsi"/>
          <w:lang w:val="en-US"/>
        </w:rPr>
      </w:pPr>
    </w:p>
    <w:p w:rsidR="00E560DB" w:rsidRPr="00923F0E" w:rsidRDefault="00E560DB" w:rsidP="00EB1FC6">
      <w:pPr>
        <w:spacing w:line="480" w:lineRule="auto"/>
        <w:jc w:val="both"/>
        <w:rPr>
          <w:rFonts w:eastAsia="Calibri" w:cstheme="minorHAnsi"/>
          <w:lang w:val="en-US"/>
        </w:rPr>
      </w:pPr>
      <w:bookmarkStart w:id="1" w:name="_Hlk8588649"/>
      <w:bookmarkStart w:id="2" w:name="_GoBack"/>
      <w:r w:rsidRPr="00923F0E">
        <w:rPr>
          <w:rFonts w:eastAsia="Calibri" w:cstheme="minorHAnsi"/>
          <w:lang w:val="en-US"/>
        </w:rPr>
        <w:t xml:space="preserve">IQR: </w:t>
      </w:r>
      <w:r w:rsidRPr="00923F0E">
        <w:rPr>
          <w:rFonts w:eastAsia="Calibri" w:cstheme="minorHAnsi"/>
          <w:lang w:val="en-AU"/>
        </w:rPr>
        <w:t>interquartile</w:t>
      </w:r>
      <w:r w:rsidRPr="00923F0E">
        <w:rPr>
          <w:rFonts w:eastAsia="Calibri" w:cstheme="minorHAnsi"/>
          <w:lang w:val="en-US"/>
        </w:rPr>
        <w:t xml:space="preserve"> range; CSPH: clinically significant portal hypertension.</w:t>
      </w:r>
    </w:p>
    <w:bookmarkEnd w:id="1"/>
    <w:p w:rsidR="00E560DB" w:rsidRPr="00923F0E" w:rsidRDefault="00E560DB" w:rsidP="00EB1FC6">
      <w:pPr>
        <w:spacing w:line="480" w:lineRule="auto"/>
        <w:jc w:val="both"/>
        <w:rPr>
          <w:rFonts w:eastAsia="Calibri" w:cstheme="minorHAnsi"/>
          <w:lang w:val="en-US"/>
        </w:rPr>
      </w:pPr>
      <w:r w:rsidRPr="00923F0E">
        <w:rPr>
          <w:rFonts w:eastAsia="Calibri" w:cstheme="minorHAnsi"/>
          <w:lang w:val="en-US"/>
        </w:rPr>
        <w:t xml:space="preserve"> Variables evaluated: age, sex, etiology, diabetes, BCLC-stage, </w:t>
      </w:r>
      <w:r w:rsidRPr="00923F0E">
        <w:rPr>
          <w:rFonts w:eastAsia="Calibri" w:cstheme="minorHAnsi"/>
          <w:lang w:val="en-GB"/>
        </w:rPr>
        <w:t>alpha</w:t>
      </w:r>
      <w:r w:rsidRPr="00923F0E">
        <w:rPr>
          <w:rFonts w:eastAsia="Calibri" w:cstheme="minorHAnsi"/>
          <w:lang w:val="en-US"/>
        </w:rPr>
        <w:t xml:space="preserve">-fetoprotein; aspartate aminotransferase; alanine aminotransferase; gamma-glutamyl-transpeptidase; alkaline phosphatase; prothrombin time; doxorubicin. </w:t>
      </w:r>
    </w:p>
    <w:bookmarkEnd w:id="2"/>
    <w:p w:rsidR="003F5AF2" w:rsidRPr="00923F0E" w:rsidRDefault="003F5AF2" w:rsidP="00931E03">
      <w:pPr>
        <w:spacing w:line="480" w:lineRule="auto"/>
        <w:rPr>
          <w:rFonts w:eastAsia="Calibri" w:cstheme="minorHAnsi"/>
          <w:lang w:val="en-US"/>
        </w:rPr>
      </w:pPr>
    </w:p>
    <w:sectPr w:rsidR="003F5AF2" w:rsidRPr="00923F0E" w:rsidSect="00923F0E">
      <w:pgSz w:w="11906" w:h="16838"/>
      <w:pgMar w:top="1701" w:right="1701" w:bottom="170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0DB"/>
    <w:rsid w:val="001053C8"/>
    <w:rsid w:val="003F5AF2"/>
    <w:rsid w:val="005116C9"/>
    <w:rsid w:val="00923F0E"/>
    <w:rsid w:val="00931E03"/>
    <w:rsid w:val="00BE1106"/>
    <w:rsid w:val="00E560DB"/>
    <w:rsid w:val="00EB1FC6"/>
    <w:rsid w:val="00EC6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4BE677-1867-4B5E-A6FA-8A8CDED0D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E560DB"/>
    <w:pPr>
      <w:spacing w:after="0" w:line="240" w:lineRule="auto"/>
    </w:pPr>
    <w:rPr>
      <w:noProof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560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138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2019-10-28T18:39:00Z</dcterms:created>
  <dcterms:modified xsi:type="dcterms:W3CDTF">2019-10-29T19:10:00Z</dcterms:modified>
</cp:coreProperties>
</file>